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b/>
          <w:i w:val="0"/>
          <w:color w:val="0071E3"/>
          <w:sz w:val="16"/>
        </w:rPr>
        <w:t>BEISPIEL · KITEi WORKSHOP 6 · zum Anpassen für Ihr Unternehmen</w:t>
      </w:r>
    </w:p>
    <w:p>
      <w:pPr>
        <w:spacing w:after="20" w:before="0"/>
      </w:pPr>
      <w:r>
        <w:rPr>
          <w:b/>
          <w:i w:val="0"/>
          <w:color w:val="1D1D1F"/>
          <w:sz w:val="34"/>
        </w:rPr>
        <w:t>KI-Nutzungsrichtlinie der Berg &amp; Sohn GmbH</w:t>
      </w:r>
    </w:p>
    <w:p>
      <w:pPr>
        <w:pBdr>
          <w:bottom w:val="single" w:sz="12" w:space="2" w:color="D2D2D7"/>
        </w:pBdr>
        <w:spacing w:after="120" w:before="0"/>
      </w:pPr>
      <w:r>
        <w:rPr>
          <w:b w:val="0"/>
          <w:i w:val="0"/>
          <w:color w:val="6E6E73"/>
          <w:sz w:val="19"/>
        </w:rPr>
        <w:t>Version 1.0   ·   gültig ab 01.08.2026   ·   freigegeben durch Geschäftsführer Thomas Berg</w:t>
      </w:r>
    </w:p>
    <w:p>
      <w:pPr>
        <w:spacing w:after="80" w:before="0"/>
      </w:pPr>
      <w:r>
        <w:rPr>
          <w:b/>
          <w:i w:val="0"/>
          <w:color w:val="1D1D1F"/>
          <w:sz w:val="21"/>
        </w:rPr>
        <w:t xml:space="preserve">Zweck und Geltungsbereich.  </w:t>
      </w:r>
      <w:r>
        <w:rPr>
          <w:b w:val="0"/>
          <w:i w:val="0"/>
          <w:color w:val="1D1D1F"/>
          <w:sz w:val="21"/>
        </w:rPr>
        <w:t>Diese Richtlinie regelt die zulässige Nutzung von Künstlicher Intelligenz (KI) in der Berg &amp; Sohn GmbH. Ziel ist ein sicherer, produktiver und rechtskonformer Einsatz. Sie gilt für alle Mitarbeitenden, einschließlich Aushilfen und externer Dienstleister.</w:t>
      </w:r>
    </w:p>
    <w:p>
      <w:pPr>
        <w:spacing w:after="160" w:before="0"/>
      </w:pPr>
      <w:r>
        <w:rPr>
          <w:b/>
          <w:i w:val="0"/>
          <w:color w:val="0071E3"/>
          <w:sz w:val="21"/>
        </w:rPr>
        <w:t xml:space="preserve">Merksatz: </w:t>
      </w:r>
      <w:r>
        <w:rPr>
          <w:b w:val="0"/>
          <w:i/>
          <w:color w:val="1D1D1F"/>
          <w:sz w:val="21"/>
        </w:rPr>
        <w:t>KI liefert Entwürfe. Der Mensch entscheidet und prüft.</w:t>
      </w:r>
    </w:p>
    <w:p>
      <w:pPr>
        <w:spacing w:after="40" w:before="160"/>
      </w:pPr>
      <w:r>
        <w:rPr>
          <w:b/>
          <w:i w:val="0"/>
          <w:color w:val="0071E3"/>
          <w:sz w:val="23"/>
        </w:rPr>
        <w:t>1.  Zulässige Programme (Positivliste)</w:t>
      </w:r>
    </w:p>
    <w:p>
      <w:pPr>
        <w:spacing w:after="40" w:before="0"/>
      </w:pPr>
      <w:r>
        <w:rPr>
          <w:b/>
        </w:rPr>
        <w:t>Freigegeben sind ausschließlich:</w:t>
      </w:r>
    </w:p>
    <w:p>
      <w:pPr>
        <w:spacing w:after="40" w:before="0"/>
      </w:pPr>
      <w:r>
        <w:rPr>
          <w:b/>
          <w:i w:val="0"/>
          <w:color w:val="0071E3"/>
          <w:sz w:val="21"/>
        </w:rPr>
        <w:t xml:space="preserve">•  </w:t>
      </w:r>
      <w:r>
        <w:rPr>
          <w:b/>
          <w:i w:val="0"/>
          <w:color w:val="1D1D1F"/>
          <w:sz w:val="21"/>
        </w:rPr>
        <w:t xml:space="preserve">Microsoft 365 Copilot </w:t>
      </w:r>
      <w:r>
        <w:rPr>
          <w:b w:val="0"/>
          <w:i w:val="0"/>
          <w:color w:val="1D1D1F"/>
          <w:sz w:val="21"/>
        </w:rPr>
        <w:t>für Office-Aufgaben, Mail-Entwürfe, Zusammenfassungen. Läuft im eigenen M365-Konto, Eingaben fließen nicht ins Training.</w:t>
      </w:r>
    </w:p>
    <w:p>
      <w:pPr>
        <w:spacing w:after="40" w:before="0"/>
      </w:pPr>
      <w:r>
        <w:rPr>
          <w:b/>
          <w:i w:val="0"/>
          <w:color w:val="0071E3"/>
          <w:sz w:val="21"/>
        </w:rPr>
        <w:t xml:space="preserve">•  </w:t>
      </w:r>
      <w:r>
        <w:rPr>
          <w:b/>
          <w:i w:val="0"/>
          <w:color w:val="1D1D1F"/>
          <w:sz w:val="21"/>
        </w:rPr>
        <w:t xml:space="preserve">ChatGPT Team </w:t>
      </w:r>
      <w:r>
        <w:rPr>
          <w:b w:val="0"/>
          <w:i w:val="0"/>
          <w:color w:val="1D1D1F"/>
          <w:sz w:val="21"/>
        </w:rPr>
        <w:t>(nur die kostenpflichtige Team-Version) für Textentwürfe, Recherche, Übersetzungshilfe.</w:t>
      </w:r>
    </w:p>
    <w:p>
      <w:pPr>
        <w:spacing w:after="40" w:before="0"/>
      </w:pPr>
      <w:r>
        <w:rPr>
          <w:b/>
          <w:i w:val="0"/>
          <w:color w:val="0071E3"/>
          <w:sz w:val="21"/>
        </w:rPr>
        <w:t xml:space="preserve">•  </w:t>
      </w:r>
      <w:r>
        <w:rPr>
          <w:b/>
          <w:i w:val="0"/>
          <w:color w:val="1D1D1F"/>
          <w:sz w:val="21"/>
        </w:rPr>
        <w:t xml:space="preserve">DeepL Pro </w:t>
      </w:r>
      <w:r>
        <w:rPr>
          <w:b w:val="0"/>
          <w:i w:val="0"/>
          <w:color w:val="1D1D1F"/>
          <w:sz w:val="21"/>
        </w:rPr>
        <w:t>für Übersetzungen von Dokumenten und Korrespondenz.</w:t>
      </w:r>
    </w:p>
    <w:p>
      <w:pPr>
        <w:spacing w:after="40" w:before="0"/>
      </w:pPr>
      <w:r>
        <w:rPr>
          <w:b/>
          <w:i w:val="0"/>
          <w:color w:val="1D1D1F"/>
          <w:sz w:val="21"/>
        </w:rPr>
        <w:t xml:space="preserve">Nicht erlaubt </w:t>
      </w:r>
      <w:r>
        <w:rPr>
          <w:b w:val="0"/>
          <w:i w:val="0"/>
          <w:color w:val="1D1D1F"/>
          <w:sz w:val="21"/>
        </w:rPr>
        <w:t>sind kostenlose Versionen mit privatem Account (z. B. ChatGPT Free, Gemini privat), weil Eingaben zum Training verwendet werden können, sowie jedes Tool ohne Freigabe der Geschäftsführung, auch wenn ein Kollege es empfiehlt. Neue Tools werden nur nach Freigabe durch Herrn Thiel (IT) aufgenommen.</w:t>
      </w:r>
    </w:p>
    <w:p>
      <w:pPr>
        <w:spacing w:after="40" w:before="160"/>
      </w:pPr>
      <w:r>
        <w:rPr>
          <w:b/>
          <w:i w:val="0"/>
          <w:color w:val="0071E3"/>
          <w:sz w:val="23"/>
        </w:rPr>
        <w:t>2.  Die rote Linie: Umgang mit Daten</w:t>
      </w:r>
    </w:p>
    <w:p>
      <w:pPr>
        <w:spacing w:after="60" w:before="0"/>
      </w:pPr>
      <w:r>
        <w:rPr>
          <w:b w:val="0"/>
          <w:i/>
          <w:color w:val="1D1D1F"/>
          <w:sz w:val="21"/>
        </w:rPr>
        <w:t>In freigegebene KI-Tools gehören keine Namen von Kunden oder Mitarbeitern, keine Preise, Kalkulationen oder Angebote, keine Verträge, keine Konstruktionsdaten und keine Passwörter. Im Zweifel gilt: nicht eingeben, sondern kurz bei Herrn Thiel nachfragen.</w:t>
      </w:r>
    </w:p>
    <w:p>
      <w:pPr>
        <w:spacing w:after="120" w:before="0"/>
      </w:pPr>
      <w:r>
        <w:rPr>
          <w:b w:val="0"/>
          <w:i w:val="0"/>
          <w:color w:val="1D1D1F"/>
          <w:sz w:val="21"/>
        </w:rPr>
        <w:t>Die Vorgaben der DSGVO gelten bei der Nutzung von KI uneingeschränkt. Personenbezogene Daten dürfen nur verarbeitet werden, wenn eine rechtskonforme Grundlage vorliegt.</w:t>
      </w:r>
    </w:p>
    <w:p>
      <w:pPr>
        <w:spacing w:after="40" w:before="160"/>
      </w:pPr>
      <w:r>
        <w:rPr>
          <w:b/>
          <w:i w:val="0"/>
          <w:color w:val="0071E3"/>
          <w:sz w:val="23"/>
        </w:rPr>
        <w:t>3.  Nutzungsregeln</w:t>
      </w:r>
    </w:p>
    <w:p>
      <w:pPr>
        <w:spacing w:after="40" w:before="0"/>
      </w:pPr>
      <w:r>
        <w:rPr>
          <w:b/>
          <w:i w:val="0"/>
          <w:color w:val="0071E3"/>
          <w:sz w:val="21"/>
        </w:rPr>
        <w:t xml:space="preserve">•  </w:t>
      </w:r>
      <w:r>
        <w:rPr>
          <w:b/>
          <w:i w:val="0"/>
          <w:color w:val="1D1D1F"/>
          <w:sz w:val="21"/>
        </w:rPr>
        <w:t xml:space="preserve">Mensch entscheidet. </w:t>
      </w:r>
      <w:r>
        <w:rPr>
          <w:b w:val="0"/>
          <w:i w:val="0"/>
          <w:color w:val="1D1D1F"/>
          <w:sz w:val="21"/>
        </w:rPr>
        <w:t>KI-Systeme treffen bei uns keine Entscheidungen. Sie geben Empfehlungen, die ein Mensch prüft und verantwortet.</w:t>
      </w:r>
    </w:p>
    <w:p>
      <w:pPr>
        <w:spacing w:after="40" w:before="0"/>
      </w:pPr>
      <w:r>
        <w:rPr>
          <w:b/>
          <w:i w:val="0"/>
          <w:color w:val="0071E3"/>
          <w:sz w:val="21"/>
        </w:rPr>
        <w:t xml:space="preserve">•  </w:t>
      </w:r>
      <w:r>
        <w:rPr>
          <w:b/>
          <w:i w:val="0"/>
          <w:color w:val="1D1D1F"/>
          <w:sz w:val="21"/>
        </w:rPr>
        <w:t xml:space="preserve">Immer prüfen. </w:t>
      </w:r>
      <w:r>
        <w:rPr>
          <w:b w:val="0"/>
          <w:i w:val="0"/>
          <w:color w:val="1D1D1F"/>
          <w:sz w:val="21"/>
        </w:rPr>
        <w:t>Jeder KI-Text und jede KI-Zahl wird vor Verwendung geprüft, so wie Sie den Entwurf eines Azubis prüfen würden. KI kann Fehler erfinden.</w:t>
      </w:r>
    </w:p>
    <w:p>
      <w:pPr>
        <w:spacing w:after="40" w:before="0"/>
      </w:pPr>
      <w:r>
        <w:rPr>
          <w:b/>
          <w:i w:val="0"/>
          <w:color w:val="0071E3"/>
          <w:sz w:val="21"/>
        </w:rPr>
        <w:t xml:space="preserve">•  </w:t>
      </w:r>
      <w:r>
        <w:rPr>
          <w:b/>
          <w:i w:val="0"/>
          <w:color w:val="1D1D1F"/>
          <w:sz w:val="21"/>
        </w:rPr>
        <w:t xml:space="preserve">Vertraulichkeit und Urheberrecht. </w:t>
      </w:r>
      <w:r>
        <w:rPr>
          <w:b w:val="0"/>
          <w:i w:val="0"/>
          <w:color w:val="1D1D1F"/>
          <w:sz w:val="21"/>
        </w:rPr>
        <w:t>Keine Rechte Dritter verletzen (Urheber-, Marken-, Persönlichkeitsrechte), nichts Vertrauliches hochladen.</w:t>
      </w:r>
    </w:p>
    <w:p>
      <w:pPr>
        <w:spacing w:after="40" w:before="160"/>
      </w:pPr>
      <w:r>
        <w:rPr>
          <w:b/>
          <w:i w:val="0"/>
          <w:color w:val="0071E3"/>
          <w:sz w:val="23"/>
        </w:rPr>
        <w:t>4.  Kennzeichnung</w:t>
      </w:r>
    </w:p>
    <w:p>
      <w:pPr>
        <w:spacing w:after="120" w:before="0"/>
      </w:pPr>
      <w:r>
        <w:rPr>
          <w:b w:val="0"/>
          <w:i w:val="0"/>
          <w:color w:val="1D1D1F"/>
          <w:sz w:val="21"/>
        </w:rPr>
        <w:t>Wenn ein Text, ein Bild oder eine Mail nach außen geht und der Eindruck entsteht, ein Mensch habe es verfasst, obwohl es von KI stammt, wird es gekennzeichnet, zum Beispiel: „Dieses Bild wurde mit Hilfe künstlicher Intelligenz erstellt.“ Grundlage ist Artikel 50 der EU-KI-Verordnung.</w:t>
      </w:r>
    </w:p>
    <w:p>
      <w:pPr>
        <w:spacing w:after="40" w:before="160"/>
      </w:pPr>
      <w:r>
        <w:rPr>
          <w:b/>
          <w:i w:val="0"/>
          <w:color w:val="0071E3"/>
          <w:sz w:val="23"/>
        </w:rPr>
        <w:t>5.  Schulung und KI-Kompetenz</w:t>
      </w:r>
    </w:p>
    <w:p>
      <w:pPr>
        <w:spacing w:after="120" w:before="0"/>
      </w:pPr>
      <w:r>
        <w:rPr>
          <w:b w:val="0"/>
          <w:i w:val="0"/>
          <w:color w:val="1D1D1F"/>
          <w:sz w:val="21"/>
        </w:rPr>
        <w:t>Bevor Sie ein KI-Tool das erste Mal nutzen, absolvieren Sie die interne 30-Minuten-Basisschulung. Danach schaltet Herr Thiel Ihren Zugang frei. Die Schulung erfüllt zugleich die Pflicht zur KI-Kompetenz nach Artikel 4 der EU-KI-Verordnung (gilt seit 02.02.2025) und wird dokumentiert.</w:t>
      </w:r>
    </w:p>
    <w:p>
      <w:pPr>
        <w:spacing w:after="40" w:before="160"/>
      </w:pPr>
      <w:r>
        <w:rPr>
          <w:b/>
          <w:i w:val="0"/>
          <w:color w:val="0071E3"/>
          <w:sz w:val="23"/>
        </w:rPr>
        <w:t>6.  Ansprechpartner, Meldung, Inkrafttreten</w:t>
      </w:r>
    </w:p>
    <w:p>
      <w:pPr>
        <w:spacing w:after="40" w:before="0"/>
      </w:pPr>
      <w:r>
        <w:rPr>
          <w:b/>
          <w:i w:val="0"/>
          <w:color w:val="0071E3"/>
          <w:sz w:val="21"/>
        </w:rPr>
        <w:t xml:space="preserve">•  </w:t>
      </w:r>
      <w:r>
        <w:rPr>
          <w:b/>
          <w:i w:val="0"/>
          <w:color w:val="1D1D1F"/>
          <w:sz w:val="21"/>
        </w:rPr>
        <w:t xml:space="preserve">Ansprechpartner: </w:t>
      </w:r>
      <w:r>
        <w:rPr>
          <w:b w:val="0"/>
          <w:i w:val="0"/>
          <w:color w:val="1D1D1F"/>
          <w:sz w:val="21"/>
        </w:rPr>
        <w:t>Herr Thiel (IT-Verantwortlicher, thiel@berg-sohn.example, Tel. 06561 000-00). Bei Datenschutzfragen die Geschäftsführung.</w:t>
      </w:r>
    </w:p>
    <w:p>
      <w:pPr>
        <w:spacing w:after="40" w:before="0"/>
      </w:pPr>
      <w:r>
        <w:rPr>
          <w:b/>
          <w:i w:val="0"/>
          <w:color w:val="0071E3"/>
          <w:sz w:val="21"/>
        </w:rPr>
        <w:t xml:space="preserve">•  </w:t>
      </w:r>
      <w:r>
        <w:rPr>
          <w:b/>
          <w:i w:val="0"/>
          <w:color w:val="1D1D1F"/>
          <w:sz w:val="21"/>
        </w:rPr>
        <w:t xml:space="preserve">Meldung: </w:t>
      </w:r>
      <w:r>
        <w:rPr>
          <w:b w:val="0"/>
          <w:i w:val="0"/>
          <w:color w:val="1D1D1F"/>
          <w:sz w:val="21"/>
        </w:rPr>
        <w:t>Auffällige Ausgaben, Sicherheits- oder Datenschutzvorfälle sofort melden. Fragen sind ausdrücklich erwünscht.</w:t>
      </w:r>
    </w:p>
    <w:p>
      <w:pPr>
        <w:spacing w:after="40" w:before="0"/>
      </w:pPr>
      <w:r>
        <w:rPr>
          <w:b/>
          <w:i w:val="0"/>
          <w:color w:val="0071E3"/>
          <w:sz w:val="21"/>
        </w:rPr>
        <w:t xml:space="preserve">•  </w:t>
      </w:r>
      <w:r>
        <w:rPr>
          <w:b/>
          <w:i w:val="0"/>
          <w:color w:val="1D1D1F"/>
          <w:sz w:val="21"/>
        </w:rPr>
        <w:t xml:space="preserve">Inkrafttreten und Pflege: </w:t>
      </w:r>
      <w:r>
        <w:rPr>
          <w:b w:val="0"/>
          <w:i w:val="0"/>
          <w:color w:val="1D1D1F"/>
          <w:sz w:val="21"/>
        </w:rPr>
        <w:t>Diese Richtlinie tritt am 01.08.2026 in Kraft und wird jährlich sowie bei relevanten Neuerungen überprüft. Verstöße können arbeitsrechtliche Folgen haben.</w:t>
      </w:r>
    </w:p>
    <w:p>
      <w:pPr>
        <w:spacing w:after="0" w:before="280"/>
      </w:pPr>
      <w:r>
        <w:rPr>
          <w:b w:val="0"/>
          <w:i w:val="0"/>
          <w:color w:val="6E6E73"/>
          <w:sz w:val="21"/>
        </w:rPr>
        <w:t>_______________________________          _______________________________</w:t>
      </w:r>
    </w:p>
    <w:p>
      <w:pPr>
        <w:spacing w:after="200" w:before="0"/>
      </w:pPr>
      <w:r>
        <w:rPr>
          <w:b w:val="0"/>
          <w:i w:val="0"/>
          <w:color w:val="6E6E73"/>
          <w:sz w:val="18"/>
        </w:rPr>
        <w:t>Ort, Datum                                                    Geschäftsführung</w:t>
      </w:r>
    </w:p>
    <w:p>
      <w:pPr>
        <w:pBdr>
          <w:bottom w:val="single" w:sz="6" w:space="2" w:color="D2D2D7"/>
        </w:pBdr>
        <w:spacing w:after="80" w:before="120"/>
      </w:pPr>
    </w:p>
    <w:p>
      <w:pPr>
        <w:spacing w:after="0" w:before="0"/>
      </w:pPr>
      <w:r>
        <w:rPr>
          <w:b w:val="0"/>
          <w:i/>
          <w:color w:val="6E6E73"/>
          <w:sz w:val="16"/>
        </w:rPr>
        <w:t>Dies ist ein fiktives Beispiel zum Anpassen. Ersetzen Sie alle Namen, Tools und Daten durch Ihre eigenen. Struktur angelehnt an das Muster der IHK Schwaben (2025); Formulierungen angelehnt an die GDD-Musterrichtlinie (2025) und das GMDS/BvD-Richtlinienbeispiel (CC BY-SA 4.0). Kostenlose Original-Muster: IHK (Kurzform) und GDD (ausführlich).</w:t>
      </w:r>
    </w:p>
    <w:sectPr w:rsidR="00FC693F" w:rsidRPr="0006063C" w:rsidSect="00034616">
      <w:footerReference w:type="default" r:id="rId9"/>
      <w:pgSz w:w="11906" w:h="16838"/>
      <w:pgMar w:top="907" w:right="1134" w:bottom="79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73"/>
        <w:sz w:val="16"/>
      </w:rPr>
      <w:t>KITEi · KI-Transferlabor Eifelkreis   ·   DFKI × Eifelkreis Digital · kitei-dfki.de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D1D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